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tbl>
      <w:tblPr/>
      <w:tblGrid>
        <w:gridCol w:w="5018"/>
        <w:gridCol w:w="5010"/>
        <w:gridCol w:w="8"/>
        <w:gridCol w:w="33"/>
      </w:tblGrid>
      <w:tr>
        <w:trPr>
          <w:trHeight w:val="782" w:hRule="auto"/>
          <w:jc w:val="left"/>
        </w:trPr>
        <w:tc>
          <w:tcPr>
            <w:tcW w:w="1002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eeaf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FF0000"/>
                <w:spacing w:val="0"/>
                <w:position w:val="0"/>
                <w:sz w:val="72"/>
                <w:shd w:fill="auto" w:val="clear"/>
              </w:rPr>
              <w:t xml:space="preserve">Brellum</w:t>
            </w:r>
          </w:p>
        </w:tc>
      </w:tr>
      <w:tr>
        <w:trPr>
          <w:trHeight w:val="530" w:hRule="auto"/>
          <w:jc w:val="left"/>
        </w:trPr>
        <w:tc>
          <w:tcPr>
            <w:tcW w:w="50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FFFFFF" w:val="clear"/>
              </w:rPr>
              <w:t xml:space="preserve">Gps</w:t>
            </w:r>
          </w:p>
        </w:tc>
        <w:tc>
          <w:tcPr>
            <w:tcW w:w="501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FFFFFF" w:val="clear"/>
              </w:rPr>
              <w:t xml:space="preserve">Shape</w:t>
            </w:r>
          </w:p>
        </w:tc>
      </w:tr>
      <w:tr>
        <w:trPr>
          <w:trHeight w:val="630" w:hRule="auto"/>
          <w:jc w:val="left"/>
        </w:trPr>
        <w:tc>
          <w:tcPr>
            <w:tcW w:w="50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FFFFFF" w:val="clear"/>
              </w:rPr>
              <w:t xml:space="preserve">True</w:t>
            </w:r>
          </w:p>
        </w:tc>
        <w:tc>
          <w:tcPr>
            <w:tcW w:w="501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FFFFFF" w:val="clear"/>
              </w:rPr>
              <w:t xml:space="preserve">Round</w:t>
            </w:r>
          </w:p>
        </w:tc>
      </w:tr>
      <w:tr>
        <w:trPr>
          <w:trHeight w:val="644" w:hRule="auto"/>
          <w:jc w:val="left"/>
        </w:trPr>
        <w:tc>
          <w:tcPr>
            <w:tcW w:w="10069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eeaf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40"/>
                <w:shd w:fill="auto" w:val="clear"/>
              </w:rPr>
              <w:t xml:space="preserve">About This item</w:t>
            </w:r>
          </w:p>
        </w:tc>
      </w:tr>
    </w:tbl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5414" w:dyaOrig="4094">
          <v:rect xmlns:o="urn:schemas-microsoft-com:office:office" xmlns:v="urn:schemas-microsoft-com:vml" id="rectole0000000000" style="width:270.700000pt;height:204.7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tbl>
      <w:tblPr/>
      <w:tblGrid>
        <w:gridCol w:w="10189"/>
      </w:tblGrid>
      <w:tr>
        <w:trPr>
          <w:trHeight w:val="1968" w:hRule="auto"/>
          <w:jc w:val="left"/>
        </w:trPr>
        <w:tc>
          <w:tcPr>
            <w:tcW w:w="101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5"/>
              </w:numPr>
              <w:spacing w:before="0" w:after="0" w:line="240"/>
              <w:ind w:right="0" w:left="720" w:hanging="360"/>
              <w:jc w:val="left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FFFFFF" w:val="clear"/>
              </w:rPr>
              <w:t xml:space="preserve">Solar powered smartwatch with scratch-resistant Power Sapphire lens and always-on 1.4” display, diamond-like carbon coating, buttons, rear case and QuickFit band system Traditional button controls that work in any environment are matched with a highly responsive touchscreen interface for quick, convenient access to selections</w:t>
            </w:r>
          </w:p>
        </w:tc>
      </w:tr>
    </w:tbl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48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48"/>
          <w:shd w:fill="auto" w:val="clear"/>
        </w:rPr>
        <w:tab/>
        <w:tab/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15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